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15" w:rsidRPr="00127413" w:rsidRDefault="005E1915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615F60" w:rsidRDefault="00615F60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615F60">
        <w:rPr>
          <w:rFonts w:ascii="Arial" w:hAnsi="Arial" w:cs="Arial"/>
          <w:b/>
          <w:sz w:val="22"/>
          <w:szCs w:val="22"/>
          <w:lang w:val="es-AR"/>
        </w:rPr>
        <w:t>Resolución General 3823</w:t>
      </w:r>
    </w:p>
    <w:p w:rsidR="0070681C" w:rsidRDefault="00615F60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  <w:r w:rsidRPr="00615F60">
        <w:rPr>
          <w:rFonts w:ascii="Arial" w:hAnsi="Arial" w:cs="Arial"/>
          <w:b/>
          <w:sz w:val="22"/>
          <w:szCs w:val="22"/>
          <w:lang w:val="es-AR"/>
        </w:rPr>
        <w:t>ADMINISTRACIÓN FEDERAL DE INGRESOS PÚBLICOS</w:t>
      </w:r>
    </w:p>
    <w:p w:rsidR="00615F60" w:rsidRDefault="00615F60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</w:p>
    <w:p w:rsidR="0070681C" w:rsidRDefault="00615F60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  <w:lang w:val="es-AR"/>
        </w:rPr>
      </w:pPr>
      <w:r w:rsidRPr="00615F60">
        <w:rPr>
          <w:rFonts w:ascii="Arial" w:hAnsi="Arial" w:cs="Arial"/>
          <w:sz w:val="22"/>
          <w:szCs w:val="22"/>
          <w:lang w:val="es-AR"/>
        </w:rPr>
        <w:t xml:space="preserve">Sistema Integral de Monitoreo de Importaciones. Su implementación. Resoluciones Generales </w:t>
      </w:r>
      <w:proofErr w:type="spellStart"/>
      <w:r w:rsidRPr="00615F60">
        <w:rPr>
          <w:rFonts w:ascii="Arial" w:hAnsi="Arial" w:cs="Arial"/>
          <w:sz w:val="22"/>
          <w:szCs w:val="22"/>
          <w:lang w:val="es-AR"/>
        </w:rPr>
        <w:t>Nros</w:t>
      </w:r>
      <w:proofErr w:type="spellEnd"/>
      <w:r w:rsidRPr="00615F60">
        <w:rPr>
          <w:rFonts w:ascii="Arial" w:hAnsi="Arial" w:cs="Arial"/>
          <w:sz w:val="22"/>
          <w:szCs w:val="22"/>
          <w:lang w:val="es-AR"/>
        </w:rPr>
        <w:t>. 3.252, 3.255 y 3.256. Sus sustituciones</w:t>
      </w:r>
    </w:p>
    <w:p w:rsidR="00615F60" w:rsidRDefault="00615F60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  <w:lang w:val="es-AR"/>
        </w:rPr>
      </w:pPr>
    </w:p>
    <w:p w:rsidR="005E1915" w:rsidRPr="00127413" w:rsidRDefault="005E1915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  <w:r w:rsidRPr="00127413">
        <w:rPr>
          <w:rFonts w:ascii="Arial" w:hAnsi="Arial" w:cs="Arial"/>
          <w:sz w:val="22"/>
          <w:szCs w:val="22"/>
          <w:u w:val="single"/>
          <w:lang w:val="es-AR"/>
        </w:rPr>
        <w:t>Fecha de publicación B.O</w:t>
      </w:r>
      <w:r w:rsidRPr="00127413">
        <w:rPr>
          <w:rFonts w:ascii="Arial" w:hAnsi="Arial" w:cs="Arial"/>
          <w:sz w:val="22"/>
          <w:szCs w:val="22"/>
          <w:lang w:val="es-AR"/>
        </w:rPr>
        <w:t xml:space="preserve">.: </w:t>
      </w:r>
      <w:r w:rsidR="00615F60">
        <w:rPr>
          <w:rFonts w:ascii="Arial" w:hAnsi="Arial" w:cs="Arial"/>
          <w:sz w:val="22"/>
          <w:szCs w:val="22"/>
          <w:lang w:val="es-AR"/>
        </w:rPr>
        <w:t>22/12</w:t>
      </w:r>
      <w:r w:rsidRPr="00127413">
        <w:rPr>
          <w:rFonts w:ascii="Arial" w:hAnsi="Arial" w:cs="Arial"/>
          <w:sz w:val="22"/>
          <w:szCs w:val="22"/>
          <w:lang w:val="es-AR"/>
        </w:rPr>
        <w:t>/201</w:t>
      </w:r>
      <w:r w:rsidR="008444F5">
        <w:rPr>
          <w:rFonts w:ascii="Arial" w:hAnsi="Arial" w:cs="Arial"/>
          <w:sz w:val="22"/>
          <w:szCs w:val="22"/>
          <w:lang w:val="es-AR"/>
        </w:rPr>
        <w:t>5</w:t>
      </w:r>
    </w:p>
    <w:p w:rsidR="005E1915" w:rsidRPr="00127413" w:rsidRDefault="005E1915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AR"/>
        </w:rPr>
      </w:pPr>
    </w:p>
    <w:p w:rsidR="005E1915" w:rsidRPr="00127413" w:rsidRDefault="00A33178" w:rsidP="005E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  <w:sz w:val="20"/>
          <w:szCs w:val="22"/>
          <w:lang w:val="es-AR"/>
        </w:rPr>
      </w:pPr>
      <w:r>
        <w:rPr>
          <w:rFonts w:ascii="Arial" w:hAnsi="Arial" w:cs="Arial"/>
          <w:i/>
          <w:sz w:val="20"/>
          <w:szCs w:val="22"/>
          <w:lang w:val="es-AR"/>
        </w:rPr>
        <w:t>(Fuent</w:t>
      </w:r>
      <w:r w:rsidR="005E1915" w:rsidRPr="00127413">
        <w:rPr>
          <w:rFonts w:ascii="Arial" w:hAnsi="Arial" w:cs="Arial"/>
          <w:i/>
          <w:sz w:val="20"/>
          <w:szCs w:val="22"/>
          <w:lang w:val="es-AR"/>
        </w:rPr>
        <w:t xml:space="preserve">e: </w:t>
      </w:r>
      <w:hyperlink r:id="rId8" w:history="1">
        <w:r w:rsidR="005E1915" w:rsidRPr="00127413">
          <w:rPr>
            <w:rStyle w:val="Hipervnculo"/>
            <w:rFonts w:ascii="Arial" w:hAnsi="Arial" w:cs="Arial"/>
            <w:i/>
            <w:sz w:val="20"/>
            <w:szCs w:val="22"/>
            <w:lang w:val="es-AR"/>
          </w:rPr>
          <w:t>www.boletinoficial.gov.ar</w:t>
        </w:r>
      </w:hyperlink>
      <w:r w:rsidR="00127413">
        <w:rPr>
          <w:rFonts w:ascii="Arial" w:hAnsi="Arial" w:cs="Arial"/>
          <w:i/>
          <w:sz w:val="20"/>
          <w:szCs w:val="22"/>
          <w:lang w:val="es-AR"/>
        </w:rPr>
        <w:t xml:space="preserve"> ,</w:t>
      </w:r>
      <w:r w:rsidR="00615F60">
        <w:rPr>
          <w:rFonts w:ascii="Arial" w:hAnsi="Arial" w:cs="Arial"/>
          <w:i/>
          <w:sz w:val="20"/>
          <w:szCs w:val="22"/>
          <w:lang w:val="es-AR"/>
        </w:rPr>
        <w:t>22</w:t>
      </w:r>
      <w:r w:rsidR="005E1915" w:rsidRPr="00127413">
        <w:rPr>
          <w:rFonts w:ascii="Arial" w:hAnsi="Arial" w:cs="Arial"/>
          <w:i/>
          <w:sz w:val="20"/>
          <w:szCs w:val="22"/>
          <w:lang w:val="es-AR"/>
        </w:rPr>
        <w:t>/</w:t>
      </w:r>
      <w:r w:rsidR="0070681C">
        <w:rPr>
          <w:rFonts w:ascii="Arial" w:hAnsi="Arial" w:cs="Arial"/>
          <w:i/>
          <w:sz w:val="20"/>
          <w:szCs w:val="22"/>
          <w:lang w:val="es-AR"/>
        </w:rPr>
        <w:t>12</w:t>
      </w:r>
      <w:r w:rsidR="005E1915" w:rsidRPr="00127413">
        <w:rPr>
          <w:rFonts w:ascii="Arial" w:hAnsi="Arial" w:cs="Arial"/>
          <w:i/>
          <w:sz w:val="20"/>
          <w:szCs w:val="22"/>
          <w:lang w:val="es-AR"/>
        </w:rPr>
        <w:t>/201</w:t>
      </w:r>
      <w:r w:rsidR="008444F5">
        <w:rPr>
          <w:rFonts w:ascii="Arial" w:hAnsi="Arial" w:cs="Arial"/>
          <w:i/>
          <w:sz w:val="20"/>
          <w:szCs w:val="22"/>
          <w:lang w:val="es-AR"/>
        </w:rPr>
        <w:t>5</w:t>
      </w:r>
      <w:r w:rsidR="005E1915" w:rsidRPr="00127413">
        <w:rPr>
          <w:rFonts w:ascii="Arial" w:hAnsi="Arial" w:cs="Arial"/>
          <w:i/>
          <w:sz w:val="20"/>
          <w:szCs w:val="22"/>
          <w:lang w:val="es-AR"/>
        </w:rPr>
        <w:t>)</w:t>
      </w:r>
    </w:p>
    <w:p w:rsidR="008F6232" w:rsidRDefault="008F6232" w:rsidP="0070681C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Bs. As., 21/12/2015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 xml:space="preserve">VISTO las Resoluciones Generales </w:t>
      </w:r>
      <w:proofErr w:type="spellStart"/>
      <w:r w:rsidRPr="00615F60">
        <w:rPr>
          <w:rFonts w:ascii="Arial" w:hAnsi="Arial" w:cs="Arial"/>
          <w:sz w:val="22"/>
          <w:lang w:val="es-AR"/>
        </w:rPr>
        <w:t>Nros</w:t>
      </w:r>
      <w:proofErr w:type="spellEnd"/>
      <w:r w:rsidRPr="00615F60">
        <w:rPr>
          <w:rFonts w:ascii="Arial" w:hAnsi="Arial" w:cs="Arial"/>
          <w:sz w:val="22"/>
          <w:lang w:val="es-AR"/>
        </w:rPr>
        <w:t>. 3.252, 3.255 y 3.256, y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CONSIDERANDO: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la Resolución General N° 3.252 estableció un régimen de información anticipada aplicable a todas las destinaciones definitivas de importación a consumo.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mediante la Resolución General N° 3.255 se establecieron las pautas de gestión y particularidades de detalle para la tramitación de la “Declaración Jurada Anticipada de Importación” (DJAI).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la Resolución N° 3.256 aprobó el “Modelo de Convenio de Adhesión al Régimen de Ventanilla Única Electrónica del Comercio Exterior - RG N° 3252 y 3255 (AFIP)”.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el anticipo de información es considerado por la Organización Mundial de Aduanas, dentro del Marco Normativo para Asegurar y Facilitar el Comercio Mundial, un elemento básico que contribuye al fortalecimiento de las Aduanas a los fines de enfrentar los desafíos actuales.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la disponibilidad de información estratégica anticipada posibilita una mayor articulación entre las distintas áreas del Estado, potenciando los resultados de la fiscalización integral.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es objetivo de esta Administración Federal el desarrollo de instrumentos que además de optimizar sus funciones específicas en materia aduanera, favorezcan la competitividad y la facilitación del comercio exterior, sin perder de vista, los controles y la gestión de riesgo sobre las mercaderías.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en concordancia con dicho objetivo y las pautas planteadas por el Ministerio de Producción, este Organismo ha diseñado el Sistema Integral de Monitoreo de Importaciones (SIMI).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 xml:space="preserve">Que la adopción de este sistema permitirá homogeneizar y facilitar la información con los organismos externos que participan en el </w:t>
      </w:r>
      <w:proofErr w:type="spellStart"/>
      <w:r w:rsidRPr="00615F60">
        <w:rPr>
          <w:rFonts w:ascii="Arial" w:hAnsi="Arial" w:cs="Arial"/>
          <w:sz w:val="22"/>
          <w:lang w:val="es-AR"/>
        </w:rPr>
        <w:t>desaduanamiento</w:t>
      </w:r>
      <w:proofErr w:type="spellEnd"/>
      <w:r w:rsidRPr="00615F60">
        <w:rPr>
          <w:rFonts w:ascii="Arial" w:hAnsi="Arial" w:cs="Arial"/>
          <w:sz w:val="22"/>
          <w:lang w:val="es-AR"/>
        </w:rPr>
        <w:t xml:space="preserve"> de las mercaderías con las intervenciones que le competen a través de la Ventanilla Única de Comercio Exterior (VUCE), implementada por la Resolución General N° 3.599.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en el contexto explicitado corresponde dejar sin efecto las Resoluciones Generales N° 3.252, 3.255 y 3.256.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 xml:space="preserve">Que han tomado la intervención que les compete la Dirección de Legislación, las Subdirecciones Generales de Asuntos Jurídicos, de Recaudación, de Fiscalización, de </w:t>
      </w:r>
      <w:r w:rsidRPr="00615F60">
        <w:rPr>
          <w:rFonts w:ascii="Arial" w:hAnsi="Arial" w:cs="Arial"/>
          <w:sz w:val="22"/>
          <w:lang w:val="es-AR"/>
        </w:rPr>
        <w:lastRenderedPageBreak/>
        <w:t>Sistemas y Telecomunicaciones y Técnico Legal Aduanera y la Dirección General de Aduanas.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Que la presente se dicta en ejercicio de las facultades conferidas por el Artículo 7° del Decreto N° 618 del 10 de julio de 1997, sus modificatorios y sus complementarios.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Por ello,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u w:val="single"/>
          <w:lang w:val="es-AR"/>
        </w:rPr>
      </w:pPr>
      <w:r w:rsidRPr="00615F60">
        <w:rPr>
          <w:rFonts w:ascii="Arial" w:hAnsi="Arial" w:cs="Arial"/>
          <w:sz w:val="22"/>
          <w:u w:val="single"/>
          <w:lang w:val="es-AR"/>
        </w:rPr>
        <w:t>EL ADMINISTRADOR FEDERAL DE LA ADMINISTRACIÓN FEDERAL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u w:val="single"/>
          <w:lang w:val="es-AR"/>
        </w:rPr>
      </w:pPr>
      <w:r w:rsidRPr="00615F60">
        <w:rPr>
          <w:rFonts w:ascii="Arial" w:hAnsi="Arial" w:cs="Arial"/>
          <w:sz w:val="22"/>
          <w:u w:val="single"/>
          <w:lang w:val="es-AR"/>
        </w:rPr>
        <w:t>DE INGRESOS PÚBLICOS RESUELVE:</w:t>
      </w:r>
    </w:p>
    <w:p w:rsid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Artículo 1°</w:t>
      </w:r>
      <w:r w:rsidRPr="00615F60">
        <w:rPr>
          <w:rFonts w:ascii="Arial" w:hAnsi="Arial" w:cs="Arial"/>
          <w:sz w:val="22"/>
          <w:lang w:val="es-AR"/>
        </w:rPr>
        <w:t xml:space="preserve"> — </w:t>
      </w:r>
      <w:proofErr w:type="spellStart"/>
      <w:r w:rsidRPr="00615F60">
        <w:rPr>
          <w:rFonts w:ascii="Arial" w:hAnsi="Arial" w:cs="Arial"/>
          <w:sz w:val="22"/>
          <w:lang w:val="es-AR"/>
        </w:rPr>
        <w:t>Apruébase</w:t>
      </w:r>
      <w:proofErr w:type="spellEnd"/>
      <w:r w:rsidRPr="00615F60">
        <w:rPr>
          <w:rFonts w:ascii="Arial" w:hAnsi="Arial" w:cs="Arial"/>
          <w:sz w:val="22"/>
          <w:lang w:val="es-AR"/>
        </w:rPr>
        <w:t xml:space="preserve"> el “Sistema Integral de Monitoreo de Importaciones” (SIMI), siendo alcanzados aquellos sujetos comprendidos en el Apartado 1 del Artículo 91 de la Ley N° 22.415 y sus modificaciones —Código Aduanero— y en la Resolución General N° 2,551, inscriptos en los “Registros Especiales Aduaneros” previstos en el Título II de la Resolución General N° 2.570, sus modificatorias y sus complementarias, con relación a las destinaciones definitivas de importación para consumo.</w:t>
      </w:r>
    </w:p>
    <w:p w:rsid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2°</w:t>
      </w:r>
      <w:r w:rsidRPr="00615F60">
        <w:rPr>
          <w:rFonts w:ascii="Arial" w:hAnsi="Arial" w:cs="Arial"/>
          <w:sz w:val="22"/>
          <w:lang w:val="es-AR"/>
        </w:rPr>
        <w:t xml:space="preserve"> — Las declaraciones efectuadas a través del Sistema Integral de Monitoreo de Importaciones (SIMI) tendrán un plazo de validez de CIENTO OCHENTA (180) días corridos, contados a partir de la fecha de su aprobación.</w:t>
      </w:r>
    </w:p>
    <w:p w:rsid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3°</w:t>
      </w:r>
      <w:r w:rsidRPr="00615F60">
        <w:rPr>
          <w:rFonts w:ascii="Arial" w:hAnsi="Arial" w:cs="Arial"/>
          <w:sz w:val="22"/>
          <w:lang w:val="es-AR"/>
        </w:rPr>
        <w:t xml:space="preserve"> — Los sujetos referidos en el Artículo 1° deberán proporcionar la información que se indica en el </w:t>
      </w:r>
      <w:proofErr w:type="spellStart"/>
      <w:r w:rsidRPr="00615F60">
        <w:rPr>
          <w:rFonts w:ascii="Arial" w:hAnsi="Arial" w:cs="Arial"/>
          <w:sz w:val="22"/>
          <w:lang w:val="es-AR"/>
        </w:rPr>
        <w:t>micrositio</w:t>
      </w:r>
      <w:proofErr w:type="spellEnd"/>
      <w:r w:rsidRPr="00615F60">
        <w:rPr>
          <w:rFonts w:ascii="Arial" w:hAnsi="Arial" w:cs="Arial"/>
          <w:sz w:val="22"/>
          <w:lang w:val="es-AR"/>
        </w:rPr>
        <w:t xml:space="preserve"> “Sistema Integral de Monitoreo de Importaciones (SIMI)”, disponible en el sitio “web” de esta Administración Federal (http://www.afip.gob.ar).</w:t>
      </w:r>
    </w:p>
    <w:p w:rsid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4°</w:t>
      </w:r>
      <w:r w:rsidRPr="00615F60">
        <w:rPr>
          <w:rFonts w:ascii="Arial" w:hAnsi="Arial" w:cs="Arial"/>
          <w:sz w:val="22"/>
          <w:lang w:val="es-AR"/>
        </w:rPr>
        <w:t xml:space="preserve"> — La información registrada en el “Sistema Integral de Monitoreo de Importaciones” (SIMI) será puesta a disposición de los organismos que adhieran o hayan adherido a la “Ventanilla Única de Comercio Exterior” (VUCE), en los términos de la Resolución General N° 3.599 y su modificatoria, en función de su competencia.</w:t>
      </w:r>
    </w:p>
    <w:p w:rsid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5°</w:t>
      </w:r>
      <w:r w:rsidRPr="00615F60">
        <w:rPr>
          <w:rFonts w:ascii="Arial" w:hAnsi="Arial" w:cs="Arial"/>
          <w:sz w:val="22"/>
          <w:lang w:val="es-AR"/>
        </w:rPr>
        <w:t xml:space="preserve"> — Los organismos aludidos en el artículo precedente deberán pronunciarse en un lapso no mayor a DIEZ (10) días. No obstante ello, los plazos podrán ampliarse en aquellos casos en que la competencia específica del organismo adherente así lo amerite.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sz w:val="22"/>
          <w:lang w:val="es-AR"/>
        </w:rPr>
        <w:t>Esta Administración Federal comunicará a los importadores las novedades producidas y, en su caso, las circunstancias que motivan las observaciones formuladas así como el Organismo ante el cual deberán comparecer a los fines de su regularización, de corresponder.</w:t>
      </w:r>
    </w:p>
    <w:p w:rsidR="00615F60" w:rsidRDefault="00615F60" w:rsidP="00615F60">
      <w:pPr>
        <w:jc w:val="both"/>
        <w:rPr>
          <w:rFonts w:ascii="Arial" w:hAnsi="Arial" w:cs="Arial"/>
          <w:b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6°</w:t>
      </w:r>
      <w:r w:rsidRPr="00615F60">
        <w:rPr>
          <w:rFonts w:ascii="Arial" w:hAnsi="Arial" w:cs="Arial"/>
          <w:sz w:val="22"/>
          <w:lang w:val="es-AR"/>
        </w:rPr>
        <w:t xml:space="preserve"> — Las situaciones de excepción, los manuales de uso de los aplicativos involucrados y las pautas de gestión de las declaraciones efectuadas a través del “Sistema Integral de Monitoreo de Importaciones (SIMI)”, serán publicadas en el </w:t>
      </w:r>
      <w:proofErr w:type="spellStart"/>
      <w:r w:rsidRPr="00615F60">
        <w:rPr>
          <w:rFonts w:ascii="Arial" w:hAnsi="Arial" w:cs="Arial"/>
          <w:sz w:val="22"/>
          <w:lang w:val="es-AR"/>
        </w:rPr>
        <w:t>micrositio</w:t>
      </w:r>
      <w:proofErr w:type="spellEnd"/>
      <w:r w:rsidRPr="00615F60">
        <w:rPr>
          <w:rFonts w:ascii="Arial" w:hAnsi="Arial" w:cs="Arial"/>
          <w:sz w:val="22"/>
          <w:lang w:val="es-AR"/>
        </w:rPr>
        <w:t xml:space="preserve"> “Sistema Integral de Monitoreo de Importaciones (SIMI)”, disponible en el sitio “web” de esta Administración Federal (http://www.afip.gob.ar).</w:t>
      </w:r>
    </w:p>
    <w:p w:rsidR="00615F60" w:rsidRDefault="00615F60" w:rsidP="00615F60">
      <w:pPr>
        <w:jc w:val="both"/>
        <w:rPr>
          <w:rFonts w:ascii="Arial" w:hAnsi="Arial" w:cs="Arial"/>
          <w:b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 xml:space="preserve">Art. 7° </w:t>
      </w:r>
      <w:r w:rsidRPr="00615F60">
        <w:rPr>
          <w:rFonts w:ascii="Arial" w:hAnsi="Arial" w:cs="Arial"/>
          <w:sz w:val="22"/>
          <w:lang w:val="es-AR"/>
        </w:rPr>
        <w:t xml:space="preserve">— </w:t>
      </w:r>
      <w:proofErr w:type="spellStart"/>
      <w:r w:rsidRPr="00615F60">
        <w:rPr>
          <w:rFonts w:ascii="Arial" w:hAnsi="Arial" w:cs="Arial"/>
          <w:sz w:val="22"/>
          <w:lang w:val="es-AR"/>
        </w:rPr>
        <w:t>Facúltase</w:t>
      </w:r>
      <w:proofErr w:type="spellEnd"/>
      <w:r w:rsidRPr="00615F60">
        <w:rPr>
          <w:rFonts w:ascii="Arial" w:hAnsi="Arial" w:cs="Arial"/>
          <w:sz w:val="22"/>
          <w:lang w:val="es-AR"/>
        </w:rPr>
        <w:t xml:space="preserve"> a la Dirección General de Aduanas y a las Subdirecciones Generales de Sistemas y Telecomunicaciones, de Fiscalización y de Recaudación a mantener actualizadas las publicaciones mencionadas en el artículo precedente.</w:t>
      </w:r>
    </w:p>
    <w:p w:rsidR="00615F60" w:rsidRDefault="00615F60" w:rsidP="00615F60">
      <w:pPr>
        <w:jc w:val="both"/>
        <w:rPr>
          <w:rFonts w:ascii="Arial" w:hAnsi="Arial" w:cs="Arial"/>
          <w:b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 xml:space="preserve">Art. 8° </w:t>
      </w:r>
      <w:r w:rsidRPr="00615F60">
        <w:rPr>
          <w:rFonts w:ascii="Arial" w:hAnsi="Arial" w:cs="Arial"/>
          <w:sz w:val="22"/>
          <w:lang w:val="es-AR"/>
        </w:rPr>
        <w:t>— Los organismos adheridos podrán, en orden a su competencia, acceder a la información del Sistema Integral de Monitoreo de Importaciones (SIMI). Asimismo, podrán solicitar a esta Administración Federal la inclusión de la información complementaria que estimen necesaria.</w:t>
      </w:r>
    </w:p>
    <w:p w:rsidR="00615F60" w:rsidRDefault="00615F60" w:rsidP="00615F60">
      <w:pPr>
        <w:jc w:val="both"/>
        <w:rPr>
          <w:rFonts w:ascii="Arial" w:hAnsi="Arial" w:cs="Arial"/>
          <w:b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9°</w:t>
      </w:r>
      <w:r w:rsidRPr="00615F60">
        <w:rPr>
          <w:rFonts w:ascii="Arial" w:hAnsi="Arial" w:cs="Arial"/>
          <w:sz w:val="22"/>
          <w:lang w:val="es-AR"/>
        </w:rPr>
        <w:t xml:space="preserve"> — Al momento de oficializar la destinación definitiva de importación para consumo, el Sistema Informático MALVINA (SIM) exigirá el número identificador SIMI, </w:t>
      </w:r>
      <w:r w:rsidRPr="00615F60">
        <w:rPr>
          <w:rFonts w:ascii="Arial" w:hAnsi="Arial" w:cs="Arial"/>
          <w:sz w:val="22"/>
          <w:lang w:val="es-AR"/>
        </w:rPr>
        <w:lastRenderedPageBreak/>
        <w:t>realizará los controles de consistencia acordados con los organismos competentes y verificará que la misma se encuentre validada por todos aquellos a los que les corresponda intervenir.</w:t>
      </w:r>
    </w:p>
    <w:p w:rsidR="00615F60" w:rsidRDefault="00615F60" w:rsidP="00615F60">
      <w:pPr>
        <w:jc w:val="both"/>
        <w:rPr>
          <w:rFonts w:ascii="Arial" w:hAnsi="Arial" w:cs="Arial"/>
          <w:b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10. —</w:t>
      </w:r>
      <w:r w:rsidRPr="00615F60">
        <w:rPr>
          <w:rFonts w:ascii="Arial" w:hAnsi="Arial" w:cs="Arial"/>
          <w:sz w:val="22"/>
          <w:lang w:val="es-AR"/>
        </w:rPr>
        <w:t xml:space="preserve"> Los convenios celebrados con otros organismos mantienen su validez.</w:t>
      </w: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11. —</w:t>
      </w:r>
      <w:r w:rsidRPr="00615F60">
        <w:rPr>
          <w:rFonts w:ascii="Arial" w:hAnsi="Arial" w:cs="Arial"/>
          <w:sz w:val="22"/>
          <w:lang w:val="es-AR"/>
        </w:rPr>
        <w:t xml:space="preserve"> Las Declaraciones Juradas Anticipadas de Importación (DJAI) registradas a la fecha de entrada en vigor de la presente norma, en sus diferentes estados, mantienen su vigencia.</w:t>
      </w:r>
    </w:p>
    <w:p w:rsid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12.</w:t>
      </w:r>
      <w:r w:rsidRPr="00615F60">
        <w:rPr>
          <w:rFonts w:ascii="Arial" w:hAnsi="Arial" w:cs="Arial"/>
          <w:sz w:val="22"/>
          <w:lang w:val="es-AR"/>
        </w:rPr>
        <w:t xml:space="preserve"> — </w:t>
      </w:r>
      <w:proofErr w:type="spellStart"/>
      <w:r w:rsidRPr="00615F60">
        <w:rPr>
          <w:rFonts w:ascii="Arial" w:hAnsi="Arial" w:cs="Arial"/>
          <w:sz w:val="22"/>
          <w:lang w:val="es-AR"/>
        </w:rPr>
        <w:t>Déjanse</w:t>
      </w:r>
      <w:proofErr w:type="spellEnd"/>
      <w:r w:rsidRPr="00615F60">
        <w:rPr>
          <w:rFonts w:ascii="Arial" w:hAnsi="Arial" w:cs="Arial"/>
          <w:sz w:val="22"/>
          <w:lang w:val="es-AR"/>
        </w:rPr>
        <w:t xml:space="preserve"> sin efecto las Resoluciones Generales </w:t>
      </w:r>
      <w:proofErr w:type="spellStart"/>
      <w:r w:rsidRPr="00615F60">
        <w:rPr>
          <w:rFonts w:ascii="Arial" w:hAnsi="Arial" w:cs="Arial"/>
          <w:sz w:val="22"/>
          <w:lang w:val="es-AR"/>
        </w:rPr>
        <w:t>Nros</w:t>
      </w:r>
      <w:proofErr w:type="spellEnd"/>
      <w:r w:rsidRPr="00615F60">
        <w:rPr>
          <w:rFonts w:ascii="Arial" w:hAnsi="Arial" w:cs="Arial"/>
          <w:sz w:val="22"/>
          <w:lang w:val="es-AR"/>
        </w:rPr>
        <w:t>. 3.252, 3.255 y 3.256.</w:t>
      </w:r>
    </w:p>
    <w:p w:rsidR="00615F60" w:rsidRDefault="00615F60" w:rsidP="00615F60">
      <w:pPr>
        <w:jc w:val="both"/>
        <w:rPr>
          <w:rFonts w:ascii="Arial" w:hAnsi="Arial" w:cs="Arial"/>
          <w:b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13.</w:t>
      </w:r>
      <w:r w:rsidRPr="00615F60">
        <w:rPr>
          <w:rFonts w:ascii="Arial" w:hAnsi="Arial" w:cs="Arial"/>
          <w:sz w:val="22"/>
          <w:lang w:val="es-AR"/>
        </w:rPr>
        <w:t xml:space="preserve"> — Esta resolución general entrará en vigencia el día siguiente al de su publicación en el Boletín Oficial.</w:t>
      </w:r>
    </w:p>
    <w:p w:rsid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</w:p>
    <w:p w:rsidR="00615F60" w:rsidRPr="00615F60" w:rsidRDefault="00615F60" w:rsidP="00615F60">
      <w:pPr>
        <w:jc w:val="both"/>
        <w:rPr>
          <w:rFonts w:ascii="Arial" w:hAnsi="Arial" w:cs="Arial"/>
          <w:sz w:val="22"/>
          <w:lang w:val="es-AR"/>
        </w:rPr>
      </w:pPr>
      <w:r w:rsidRPr="00615F60">
        <w:rPr>
          <w:rFonts w:ascii="Arial" w:hAnsi="Arial" w:cs="Arial"/>
          <w:b/>
          <w:sz w:val="22"/>
          <w:lang w:val="es-AR"/>
        </w:rPr>
        <w:t>Art. 14.</w:t>
      </w:r>
      <w:r w:rsidRPr="00615F60">
        <w:rPr>
          <w:rFonts w:ascii="Arial" w:hAnsi="Arial" w:cs="Arial"/>
          <w:sz w:val="22"/>
          <w:lang w:val="es-AR"/>
        </w:rPr>
        <w:t xml:space="preserve"> — Regístrese, </w:t>
      </w:r>
      <w:proofErr w:type="spellStart"/>
      <w:r w:rsidRPr="00615F60">
        <w:rPr>
          <w:rFonts w:ascii="Arial" w:hAnsi="Arial" w:cs="Arial"/>
          <w:sz w:val="22"/>
          <w:lang w:val="es-AR"/>
        </w:rPr>
        <w:t>dése</w:t>
      </w:r>
      <w:proofErr w:type="spellEnd"/>
      <w:r w:rsidRPr="00615F60">
        <w:rPr>
          <w:rFonts w:ascii="Arial" w:hAnsi="Arial" w:cs="Arial"/>
          <w:sz w:val="22"/>
          <w:lang w:val="es-AR"/>
        </w:rPr>
        <w:t xml:space="preserve"> a la Dirección Nacional del Registro Oficial para su publicación y difúndase en el Boletín de la Dirección General de Aduanas. Cumplido, archívese. — Alberto Abad.</w:t>
      </w:r>
    </w:p>
    <w:p w:rsidR="00615F60" w:rsidRPr="0089052E" w:rsidRDefault="00615F60" w:rsidP="00615F6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lang w:val="es-AR"/>
        </w:rPr>
      </w:pPr>
    </w:p>
    <w:sectPr w:rsidR="00615F60" w:rsidRPr="0089052E" w:rsidSect="009341D6">
      <w:headerReference w:type="default" r:id="rId9"/>
      <w:footerReference w:type="default" r:id="rId10"/>
      <w:type w:val="continuous"/>
      <w:pgSz w:w="11906" w:h="16838" w:code="9"/>
      <w:pgMar w:top="1418" w:right="1134" w:bottom="1134" w:left="1985" w:header="709" w:footer="709" w:gutter="0"/>
      <w:cols w:space="5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36" w:rsidRDefault="004F7A36">
      <w:r>
        <w:separator/>
      </w:r>
    </w:p>
  </w:endnote>
  <w:endnote w:type="continuationSeparator" w:id="0">
    <w:p w:rsidR="004F7A36" w:rsidRDefault="004F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95" w:rsidRDefault="005B32B6">
    <w:pPr>
      <w:pStyle w:val="Piedepgina"/>
      <w:jc w:val="center"/>
      <w:rPr>
        <w:rFonts w:ascii="Garamond" w:hAnsi="Garamond" w:cs="Arial"/>
        <w:sz w:val="18"/>
      </w:rPr>
    </w:pPr>
    <w:r>
      <w:rPr>
        <w:rStyle w:val="Nmerodepgina"/>
        <w:rFonts w:ascii="Garamond" w:hAnsi="Garamond" w:cs="Arial"/>
        <w:sz w:val="18"/>
      </w:rPr>
      <w:fldChar w:fldCharType="begin"/>
    </w:r>
    <w:r w:rsidR="00661395">
      <w:rPr>
        <w:rStyle w:val="Nmerodepgina"/>
        <w:rFonts w:ascii="Garamond" w:hAnsi="Garamond" w:cs="Arial"/>
        <w:sz w:val="18"/>
      </w:rPr>
      <w:instrText xml:space="preserve"> PAGE </w:instrText>
    </w:r>
    <w:r>
      <w:rPr>
        <w:rStyle w:val="Nmerodepgina"/>
        <w:rFonts w:ascii="Garamond" w:hAnsi="Garamond" w:cs="Arial"/>
        <w:sz w:val="18"/>
      </w:rPr>
      <w:fldChar w:fldCharType="separate"/>
    </w:r>
    <w:r w:rsidR="00B82D7E">
      <w:rPr>
        <w:rStyle w:val="Nmerodepgina"/>
        <w:rFonts w:ascii="Garamond" w:hAnsi="Garamond" w:cs="Arial"/>
        <w:noProof/>
        <w:sz w:val="18"/>
      </w:rPr>
      <w:t>3</w:t>
    </w:r>
    <w:r>
      <w:rPr>
        <w:rStyle w:val="Nmerodepgina"/>
        <w:rFonts w:ascii="Garamond" w:hAnsi="Garamond" w:cs="Arial"/>
        <w:sz w:val="18"/>
      </w:rPr>
      <w:fldChar w:fldCharType="end"/>
    </w:r>
    <w:r w:rsidR="00661395">
      <w:rPr>
        <w:rStyle w:val="Nmerodepgina"/>
        <w:rFonts w:ascii="Garamond" w:hAnsi="Garamond" w:cs="Arial"/>
        <w:sz w:val="18"/>
      </w:rPr>
      <w:t xml:space="preserve"> / </w:t>
    </w:r>
    <w:r>
      <w:rPr>
        <w:rStyle w:val="Nmerodepgina"/>
        <w:rFonts w:ascii="Garamond" w:hAnsi="Garamond" w:cs="Arial"/>
        <w:sz w:val="18"/>
      </w:rPr>
      <w:fldChar w:fldCharType="begin"/>
    </w:r>
    <w:r w:rsidR="00661395">
      <w:rPr>
        <w:rStyle w:val="Nmerodepgina"/>
        <w:rFonts w:ascii="Garamond" w:hAnsi="Garamond" w:cs="Arial"/>
        <w:sz w:val="18"/>
      </w:rPr>
      <w:instrText xml:space="preserve"> NUMPAGES </w:instrText>
    </w:r>
    <w:r>
      <w:rPr>
        <w:rStyle w:val="Nmerodepgina"/>
        <w:rFonts w:ascii="Garamond" w:hAnsi="Garamond" w:cs="Arial"/>
        <w:sz w:val="18"/>
      </w:rPr>
      <w:fldChar w:fldCharType="separate"/>
    </w:r>
    <w:r w:rsidR="00B82D7E">
      <w:rPr>
        <w:rStyle w:val="Nmerodepgina"/>
        <w:rFonts w:ascii="Garamond" w:hAnsi="Garamond" w:cs="Arial"/>
        <w:noProof/>
        <w:sz w:val="18"/>
      </w:rPr>
      <w:t>3</w:t>
    </w:r>
    <w:r>
      <w:rPr>
        <w:rStyle w:val="Nmerodepgina"/>
        <w:rFonts w:ascii="Garamond" w:hAnsi="Garamond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36" w:rsidRDefault="004F7A36">
      <w:r>
        <w:separator/>
      </w:r>
    </w:p>
  </w:footnote>
  <w:footnote w:type="continuationSeparator" w:id="0">
    <w:p w:rsidR="004F7A36" w:rsidRDefault="004F7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95" w:rsidRDefault="00661395">
    <w:pPr>
      <w:pStyle w:val="Encabezado"/>
      <w:jc w:val="center"/>
      <w:rPr>
        <w:rFonts w:ascii="Garamond" w:hAnsi="Garamond"/>
        <w:b/>
        <w:bCs/>
        <w:smallCaps/>
        <w:color w:val="999999"/>
        <w:sz w:val="20"/>
        <w:lang w:val="es-ES_tradnl"/>
      </w:rPr>
    </w:pPr>
    <w:r>
      <w:rPr>
        <w:rFonts w:ascii="Garamond" w:hAnsi="Garamond"/>
        <w:b/>
        <w:bCs/>
        <w:smallCaps/>
        <w:color w:val="999999"/>
        <w:sz w:val="20"/>
        <w:lang w:val="es-ES_tradnl"/>
      </w:rPr>
      <w:t>Estudio  Beccar  Varela</w:t>
    </w:r>
  </w:p>
  <w:p w:rsidR="00661395" w:rsidRDefault="00661395">
    <w:pPr>
      <w:pStyle w:val="Encabezado"/>
      <w:jc w:val="center"/>
      <w:rPr>
        <w:rFonts w:ascii="Garamond" w:hAnsi="Garamond"/>
        <w:b/>
        <w:bCs/>
        <w:color w:val="999999"/>
        <w:sz w:val="18"/>
        <w:lang w:val="es-ES_tradnl"/>
      </w:rPr>
    </w:pPr>
    <w:r>
      <w:rPr>
        <w:rFonts w:ascii="Garamond" w:hAnsi="Garamond"/>
        <w:b/>
        <w:bCs/>
        <w:color w:val="999999"/>
        <w:sz w:val="18"/>
        <w:lang w:val="es-ES_tradnl"/>
      </w:rPr>
      <w:t xml:space="preserve">  Biblioteca  y  Centro  de  información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12"/>
    <w:multiLevelType w:val="hybridMultilevel"/>
    <w:tmpl w:val="098802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4FE"/>
    <w:multiLevelType w:val="hybridMultilevel"/>
    <w:tmpl w:val="2F36AA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B9B"/>
    <w:multiLevelType w:val="hybridMultilevel"/>
    <w:tmpl w:val="0EE02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362A3"/>
    <w:multiLevelType w:val="hybridMultilevel"/>
    <w:tmpl w:val="B2029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63E3"/>
    <w:multiLevelType w:val="hybridMultilevel"/>
    <w:tmpl w:val="8FECE7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6313"/>
    <w:multiLevelType w:val="hybridMultilevel"/>
    <w:tmpl w:val="AA2AA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4CEB"/>
    <w:multiLevelType w:val="hybridMultilevel"/>
    <w:tmpl w:val="DA28B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08AB"/>
    <w:multiLevelType w:val="hybridMultilevel"/>
    <w:tmpl w:val="AC6063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47B94"/>
    <w:multiLevelType w:val="hybridMultilevel"/>
    <w:tmpl w:val="3C783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E69E0"/>
    <w:multiLevelType w:val="hybridMultilevel"/>
    <w:tmpl w:val="5B7CFFC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E10179"/>
    <w:multiLevelType w:val="hybridMultilevel"/>
    <w:tmpl w:val="72103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279E0"/>
    <w:multiLevelType w:val="hybridMultilevel"/>
    <w:tmpl w:val="8C004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0526B"/>
    <w:multiLevelType w:val="hybridMultilevel"/>
    <w:tmpl w:val="516895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754F"/>
    <w:multiLevelType w:val="hybridMultilevel"/>
    <w:tmpl w:val="4AF86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00B49"/>
    <w:multiLevelType w:val="hybridMultilevel"/>
    <w:tmpl w:val="85300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26808"/>
    <w:multiLevelType w:val="hybridMultilevel"/>
    <w:tmpl w:val="AA60C5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87DD8"/>
    <w:multiLevelType w:val="hybridMultilevel"/>
    <w:tmpl w:val="530A14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D6578"/>
    <w:multiLevelType w:val="hybridMultilevel"/>
    <w:tmpl w:val="EF788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C218A"/>
    <w:multiLevelType w:val="hybridMultilevel"/>
    <w:tmpl w:val="717C0BC0"/>
    <w:lvl w:ilvl="0" w:tplc="D586FB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B37CE"/>
    <w:multiLevelType w:val="hybridMultilevel"/>
    <w:tmpl w:val="2A6E0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D2277"/>
    <w:multiLevelType w:val="hybridMultilevel"/>
    <w:tmpl w:val="A5B81752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393E02"/>
    <w:multiLevelType w:val="hybridMultilevel"/>
    <w:tmpl w:val="165410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A15BC"/>
    <w:multiLevelType w:val="hybridMultilevel"/>
    <w:tmpl w:val="E13C57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A7CE0"/>
    <w:multiLevelType w:val="hybridMultilevel"/>
    <w:tmpl w:val="CD724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16BFD"/>
    <w:multiLevelType w:val="hybridMultilevel"/>
    <w:tmpl w:val="38660F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87797"/>
    <w:multiLevelType w:val="hybridMultilevel"/>
    <w:tmpl w:val="557259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C6559"/>
    <w:multiLevelType w:val="hybridMultilevel"/>
    <w:tmpl w:val="91B66D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7"/>
  </w:num>
  <w:num w:numId="5">
    <w:abstractNumId w:val="23"/>
  </w:num>
  <w:num w:numId="6">
    <w:abstractNumId w:val="10"/>
  </w:num>
  <w:num w:numId="7">
    <w:abstractNumId w:val="1"/>
  </w:num>
  <w:num w:numId="8">
    <w:abstractNumId w:val="2"/>
  </w:num>
  <w:num w:numId="9">
    <w:abstractNumId w:val="18"/>
  </w:num>
  <w:num w:numId="10">
    <w:abstractNumId w:val="22"/>
  </w:num>
  <w:num w:numId="11">
    <w:abstractNumId w:val="5"/>
  </w:num>
  <w:num w:numId="12">
    <w:abstractNumId w:val="26"/>
  </w:num>
  <w:num w:numId="13">
    <w:abstractNumId w:val="3"/>
  </w:num>
  <w:num w:numId="14">
    <w:abstractNumId w:val="20"/>
  </w:num>
  <w:num w:numId="15">
    <w:abstractNumId w:val="21"/>
  </w:num>
  <w:num w:numId="16">
    <w:abstractNumId w:val="11"/>
  </w:num>
  <w:num w:numId="17">
    <w:abstractNumId w:val="13"/>
  </w:num>
  <w:num w:numId="18">
    <w:abstractNumId w:val="15"/>
  </w:num>
  <w:num w:numId="19">
    <w:abstractNumId w:val="25"/>
  </w:num>
  <w:num w:numId="20">
    <w:abstractNumId w:val="6"/>
  </w:num>
  <w:num w:numId="21">
    <w:abstractNumId w:val="4"/>
  </w:num>
  <w:num w:numId="22">
    <w:abstractNumId w:val="16"/>
  </w:num>
  <w:num w:numId="23">
    <w:abstractNumId w:val="12"/>
  </w:num>
  <w:num w:numId="24">
    <w:abstractNumId w:val="0"/>
  </w:num>
  <w:num w:numId="25">
    <w:abstractNumId w:val="8"/>
  </w:num>
  <w:num w:numId="26">
    <w:abstractNumId w:val="9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0D"/>
    <w:rsid w:val="00004F73"/>
    <w:rsid w:val="00011F52"/>
    <w:rsid w:val="00020A79"/>
    <w:rsid w:val="000222BC"/>
    <w:rsid w:val="000332C3"/>
    <w:rsid w:val="000445D4"/>
    <w:rsid w:val="00060A1C"/>
    <w:rsid w:val="00072E80"/>
    <w:rsid w:val="000A32E5"/>
    <w:rsid w:val="000B043C"/>
    <w:rsid w:val="000B12D3"/>
    <w:rsid w:val="000B4A3A"/>
    <w:rsid w:val="000B6DE1"/>
    <w:rsid w:val="000C6487"/>
    <w:rsid w:val="000C724E"/>
    <w:rsid w:val="000E7F9C"/>
    <w:rsid w:val="000F3B9D"/>
    <w:rsid w:val="00100EB4"/>
    <w:rsid w:val="001043A0"/>
    <w:rsid w:val="00112FB8"/>
    <w:rsid w:val="00122EFC"/>
    <w:rsid w:val="00127413"/>
    <w:rsid w:val="001845B0"/>
    <w:rsid w:val="00184F52"/>
    <w:rsid w:val="00185258"/>
    <w:rsid w:val="001A03AC"/>
    <w:rsid w:val="001A4361"/>
    <w:rsid w:val="001B51AC"/>
    <w:rsid w:val="001C3E86"/>
    <w:rsid w:val="001C6F55"/>
    <w:rsid w:val="001D007C"/>
    <w:rsid w:val="001D1887"/>
    <w:rsid w:val="001D78A0"/>
    <w:rsid w:val="001E545B"/>
    <w:rsid w:val="001F51E6"/>
    <w:rsid w:val="001F6BC4"/>
    <w:rsid w:val="00200C4E"/>
    <w:rsid w:val="00210E24"/>
    <w:rsid w:val="002207E3"/>
    <w:rsid w:val="00230A79"/>
    <w:rsid w:val="00232942"/>
    <w:rsid w:val="00236C57"/>
    <w:rsid w:val="00244B3B"/>
    <w:rsid w:val="002462F4"/>
    <w:rsid w:val="00261CAA"/>
    <w:rsid w:val="00276412"/>
    <w:rsid w:val="002841E3"/>
    <w:rsid w:val="0028515C"/>
    <w:rsid w:val="0028795C"/>
    <w:rsid w:val="002A30B6"/>
    <w:rsid w:val="002B159E"/>
    <w:rsid w:val="002C2FE0"/>
    <w:rsid w:val="002C4D9D"/>
    <w:rsid w:val="002C612D"/>
    <w:rsid w:val="002D619B"/>
    <w:rsid w:val="002E6AED"/>
    <w:rsid w:val="002F207E"/>
    <w:rsid w:val="002F5041"/>
    <w:rsid w:val="00301776"/>
    <w:rsid w:val="0030363E"/>
    <w:rsid w:val="00305696"/>
    <w:rsid w:val="0031201C"/>
    <w:rsid w:val="00323EAA"/>
    <w:rsid w:val="003415E0"/>
    <w:rsid w:val="00343AAE"/>
    <w:rsid w:val="003530F6"/>
    <w:rsid w:val="00353A11"/>
    <w:rsid w:val="0038578B"/>
    <w:rsid w:val="003A6AE8"/>
    <w:rsid w:val="003B1B88"/>
    <w:rsid w:val="003B1E75"/>
    <w:rsid w:val="003B4490"/>
    <w:rsid w:val="003B7486"/>
    <w:rsid w:val="003C003C"/>
    <w:rsid w:val="003D1D0F"/>
    <w:rsid w:val="003F183D"/>
    <w:rsid w:val="003F3FB1"/>
    <w:rsid w:val="00400165"/>
    <w:rsid w:val="004041BB"/>
    <w:rsid w:val="0041057A"/>
    <w:rsid w:val="00425450"/>
    <w:rsid w:val="00426F20"/>
    <w:rsid w:val="00447CB7"/>
    <w:rsid w:val="00447E56"/>
    <w:rsid w:val="00453A3C"/>
    <w:rsid w:val="00460CF5"/>
    <w:rsid w:val="00466BF4"/>
    <w:rsid w:val="00477C5A"/>
    <w:rsid w:val="00477F3C"/>
    <w:rsid w:val="004871F2"/>
    <w:rsid w:val="004A5A35"/>
    <w:rsid w:val="004C7DC0"/>
    <w:rsid w:val="004F05FF"/>
    <w:rsid w:val="004F5FB8"/>
    <w:rsid w:val="004F7A36"/>
    <w:rsid w:val="005001B1"/>
    <w:rsid w:val="005047C0"/>
    <w:rsid w:val="00520A7A"/>
    <w:rsid w:val="00522889"/>
    <w:rsid w:val="005237E8"/>
    <w:rsid w:val="005246EE"/>
    <w:rsid w:val="0053541E"/>
    <w:rsid w:val="00540FD1"/>
    <w:rsid w:val="0054241D"/>
    <w:rsid w:val="00543D9C"/>
    <w:rsid w:val="00550DA4"/>
    <w:rsid w:val="00551194"/>
    <w:rsid w:val="005521D3"/>
    <w:rsid w:val="005530BA"/>
    <w:rsid w:val="00554534"/>
    <w:rsid w:val="005572BB"/>
    <w:rsid w:val="00577EF3"/>
    <w:rsid w:val="00596BF5"/>
    <w:rsid w:val="005975E0"/>
    <w:rsid w:val="005A5418"/>
    <w:rsid w:val="005B2F5C"/>
    <w:rsid w:val="005B32B6"/>
    <w:rsid w:val="005B3C36"/>
    <w:rsid w:val="005C6060"/>
    <w:rsid w:val="005D2C34"/>
    <w:rsid w:val="005D3AF1"/>
    <w:rsid w:val="005E1915"/>
    <w:rsid w:val="005E2E34"/>
    <w:rsid w:val="005E305F"/>
    <w:rsid w:val="005F23CD"/>
    <w:rsid w:val="006117CB"/>
    <w:rsid w:val="00615F60"/>
    <w:rsid w:val="00616615"/>
    <w:rsid w:val="00625ED0"/>
    <w:rsid w:val="0063133E"/>
    <w:rsid w:val="0063197F"/>
    <w:rsid w:val="0064235D"/>
    <w:rsid w:val="00657824"/>
    <w:rsid w:val="00661395"/>
    <w:rsid w:val="00667537"/>
    <w:rsid w:val="0067101A"/>
    <w:rsid w:val="0067547A"/>
    <w:rsid w:val="00683F85"/>
    <w:rsid w:val="00693C64"/>
    <w:rsid w:val="00693F10"/>
    <w:rsid w:val="006A1CB1"/>
    <w:rsid w:val="006B3217"/>
    <w:rsid w:val="006B4E4A"/>
    <w:rsid w:val="006B5A3D"/>
    <w:rsid w:val="006C1967"/>
    <w:rsid w:val="006C1F21"/>
    <w:rsid w:val="006F6215"/>
    <w:rsid w:val="0070190D"/>
    <w:rsid w:val="007033DE"/>
    <w:rsid w:val="00704748"/>
    <w:rsid w:val="0070681C"/>
    <w:rsid w:val="0071376C"/>
    <w:rsid w:val="00721C39"/>
    <w:rsid w:val="00731BEB"/>
    <w:rsid w:val="00737091"/>
    <w:rsid w:val="00744F1F"/>
    <w:rsid w:val="00755DC3"/>
    <w:rsid w:val="00770D1A"/>
    <w:rsid w:val="007710DA"/>
    <w:rsid w:val="00790547"/>
    <w:rsid w:val="00797A35"/>
    <w:rsid w:val="007B0A78"/>
    <w:rsid w:val="007B462B"/>
    <w:rsid w:val="007D09E1"/>
    <w:rsid w:val="007D2363"/>
    <w:rsid w:val="007D524D"/>
    <w:rsid w:val="0080136B"/>
    <w:rsid w:val="008143F7"/>
    <w:rsid w:val="008160EC"/>
    <w:rsid w:val="0081616C"/>
    <w:rsid w:val="0083432E"/>
    <w:rsid w:val="0083645C"/>
    <w:rsid w:val="008444F5"/>
    <w:rsid w:val="00845C8E"/>
    <w:rsid w:val="00852ACA"/>
    <w:rsid w:val="00853684"/>
    <w:rsid w:val="00855EDA"/>
    <w:rsid w:val="00856607"/>
    <w:rsid w:val="008569DA"/>
    <w:rsid w:val="00856EC7"/>
    <w:rsid w:val="00871B7C"/>
    <w:rsid w:val="00872E4E"/>
    <w:rsid w:val="00875D9F"/>
    <w:rsid w:val="00880FD8"/>
    <w:rsid w:val="008866A6"/>
    <w:rsid w:val="0089052E"/>
    <w:rsid w:val="00896831"/>
    <w:rsid w:val="008A0271"/>
    <w:rsid w:val="008A6C14"/>
    <w:rsid w:val="008B14DA"/>
    <w:rsid w:val="008B185F"/>
    <w:rsid w:val="008B5237"/>
    <w:rsid w:val="008B554E"/>
    <w:rsid w:val="008B63AA"/>
    <w:rsid w:val="008E262C"/>
    <w:rsid w:val="008E3F20"/>
    <w:rsid w:val="008E51FB"/>
    <w:rsid w:val="008F13D7"/>
    <w:rsid w:val="008F6232"/>
    <w:rsid w:val="008F6734"/>
    <w:rsid w:val="00907A2C"/>
    <w:rsid w:val="00916662"/>
    <w:rsid w:val="00922813"/>
    <w:rsid w:val="00930CFB"/>
    <w:rsid w:val="009341D6"/>
    <w:rsid w:val="00947AA2"/>
    <w:rsid w:val="009841B2"/>
    <w:rsid w:val="009942E3"/>
    <w:rsid w:val="00995B9D"/>
    <w:rsid w:val="00997A85"/>
    <w:rsid w:val="009B3F01"/>
    <w:rsid w:val="009B3F5B"/>
    <w:rsid w:val="009C093D"/>
    <w:rsid w:val="009C3CCB"/>
    <w:rsid w:val="009C436F"/>
    <w:rsid w:val="009D3304"/>
    <w:rsid w:val="009F67EC"/>
    <w:rsid w:val="00A21B27"/>
    <w:rsid w:val="00A27FDC"/>
    <w:rsid w:val="00A33178"/>
    <w:rsid w:val="00A666FA"/>
    <w:rsid w:val="00A73002"/>
    <w:rsid w:val="00A77249"/>
    <w:rsid w:val="00A839AD"/>
    <w:rsid w:val="00A84BB3"/>
    <w:rsid w:val="00A930DB"/>
    <w:rsid w:val="00AA192B"/>
    <w:rsid w:val="00AA6B75"/>
    <w:rsid w:val="00AB5FFC"/>
    <w:rsid w:val="00AD285B"/>
    <w:rsid w:val="00AE30AC"/>
    <w:rsid w:val="00AE3623"/>
    <w:rsid w:val="00AF5B4C"/>
    <w:rsid w:val="00AF7BF4"/>
    <w:rsid w:val="00B0527E"/>
    <w:rsid w:val="00B10AB2"/>
    <w:rsid w:val="00B21416"/>
    <w:rsid w:val="00B34A50"/>
    <w:rsid w:val="00B47C81"/>
    <w:rsid w:val="00B5757E"/>
    <w:rsid w:val="00B65417"/>
    <w:rsid w:val="00B731F9"/>
    <w:rsid w:val="00B75394"/>
    <w:rsid w:val="00B82D7E"/>
    <w:rsid w:val="00B848EB"/>
    <w:rsid w:val="00BA4ADF"/>
    <w:rsid w:val="00BA6389"/>
    <w:rsid w:val="00BA7724"/>
    <w:rsid w:val="00BB0A15"/>
    <w:rsid w:val="00BB42E5"/>
    <w:rsid w:val="00BB4C30"/>
    <w:rsid w:val="00BC63B4"/>
    <w:rsid w:val="00BC72A1"/>
    <w:rsid w:val="00BD48CF"/>
    <w:rsid w:val="00BD6AE8"/>
    <w:rsid w:val="00BE2E47"/>
    <w:rsid w:val="00BE5F54"/>
    <w:rsid w:val="00BF3CCA"/>
    <w:rsid w:val="00BF7BAD"/>
    <w:rsid w:val="00C0431B"/>
    <w:rsid w:val="00C063CE"/>
    <w:rsid w:val="00C064C5"/>
    <w:rsid w:val="00C10D82"/>
    <w:rsid w:val="00C17FDC"/>
    <w:rsid w:val="00C32A6B"/>
    <w:rsid w:val="00C36CE6"/>
    <w:rsid w:val="00C47F29"/>
    <w:rsid w:val="00C55964"/>
    <w:rsid w:val="00C569C7"/>
    <w:rsid w:val="00C6031A"/>
    <w:rsid w:val="00C77868"/>
    <w:rsid w:val="00C967E1"/>
    <w:rsid w:val="00C96B3D"/>
    <w:rsid w:val="00CA66E4"/>
    <w:rsid w:val="00CC1BB2"/>
    <w:rsid w:val="00CC266C"/>
    <w:rsid w:val="00CC5579"/>
    <w:rsid w:val="00CD42B7"/>
    <w:rsid w:val="00CE469A"/>
    <w:rsid w:val="00CF1926"/>
    <w:rsid w:val="00CF1958"/>
    <w:rsid w:val="00CF2482"/>
    <w:rsid w:val="00CF4755"/>
    <w:rsid w:val="00D016D7"/>
    <w:rsid w:val="00D11872"/>
    <w:rsid w:val="00D12C3E"/>
    <w:rsid w:val="00D15D75"/>
    <w:rsid w:val="00D17D3C"/>
    <w:rsid w:val="00D30E78"/>
    <w:rsid w:val="00D42DF4"/>
    <w:rsid w:val="00D445C1"/>
    <w:rsid w:val="00D478E2"/>
    <w:rsid w:val="00D51D7C"/>
    <w:rsid w:val="00D81FEE"/>
    <w:rsid w:val="00D9446E"/>
    <w:rsid w:val="00DB0919"/>
    <w:rsid w:val="00DB7C73"/>
    <w:rsid w:val="00DD420E"/>
    <w:rsid w:val="00DF1D62"/>
    <w:rsid w:val="00E03A20"/>
    <w:rsid w:val="00E0488F"/>
    <w:rsid w:val="00E06370"/>
    <w:rsid w:val="00E12D20"/>
    <w:rsid w:val="00E26B66"/>
    <w:rsid w:val="00E306EE"/>
    <w:rsid w:val="00E3674F"/>
    <w:rsid w:val="00E44540"/>
    <w:rsid w:val="00E4576A"/>
    <w:rsid w:val="00E52B0B"/>
    <w:rsid w:val="00E54339"/>
    <w:rsid w:val="00E57D44"/>
    <w:rsid w:val="00E65760"/>
    <w:rsid w:val="00E7317E"/>
    <w:rsid w:val="00E75B02"/>
    <w:rsid w:val="00E83A77"/>
    <w:rsid w:val="00E978FA"/>
    <w:rsid w:val="00EA1D19"/>
    <w:rsid w:val="00EA33C2"/>
    <w:rsid w:val="00EB485D"/>
    <w:rsid w:val="00ED1D77"/>
    <w:rsid w:val="00EE4512"/>
    <w:rsid w:val="00EF20C0"/>
    <w:rsid w:val="00EF2A39"/>
    <w:rsid w:val="00EF7605"/>
    <w:rsid w:val="00F04559"/>
    <w:rsid w:val="00F10D07"/>
    <w:rsid w:val="00F322B3"/>
    <w:rsid w:val="00F5578A"/>
    <w:rsid w:val="00F56EF6"/>
    <w:rsid w:val="00F62E5E"/>
    <w:rsid w:val="00F65FE9"/>
    <w:rsid w:val="00F702D0"/>
    <w:rsid w:val="00F807C8"/>
    <w:rsid w:val="00F80B56"/>
    <w:rsid w:val="00F83F11"/>
    <w:rsid w:val="00F93577"/>
    <w:rsid w:val="00FA132E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04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9D3304"/>
    <w:pPr>
      <w:keepNext/>
      <w:jc w:val="center"/>
      <w:outlineLvl w:val="0"/>
    </w:pPr>
    <w:rPr>
      <w:rFonts w:ascii="Arial" w:hAnsi="Arial" w:cs="Arial"/>
      <w:b/>
      <w:bCs/>
      <w:sz w:val="22"/>
      <w:lang w:val="es-ES"/>
    </w:rPr>
  </w:style>
  <w:style w:type="paragraph" w:styleId="Ttulo2">
    <w:name w:val="heading 2"/>
    <w:basedOn w:val="Normal"/>
    <w:next w:val="Normal"/>
    <w:qFormat/>
    <w:rsid w:val="009D3304"/>
    <w:pPr>
      <w:keepNext/>
      <w:jc w:val="both"/>
      <w:outlineLvl w:val="1"/>
    </w:pPr>
    <w:rPr>
      <w:rFonts w:ascii="Arial" w:hAnsi="Arial" w:cs="Arial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D3304"/>
    <w:pPr>
      <w:jc w:val="both"/>
    </w:pPr>
    <w:rPr>
      <w:rFonts w:ascii="Arial" w:hAnsi="Arial" w:cs="Arial"/>
      <w:b/>
      <w:bCs/>
      <w:sz w:val="22"/>
      <w:lang w:val="es-ES"/>
    </w:rPr>
  </w:style>
  <w:style w:type="character" w:styleId="Hipervnculo">
    <w:name w:val="Hyperlink"/>
    <w:basedOn w:val="Fuentedeprrafopredeter"/>
    <w:semiHidden/>
    <w:rsid w:val="009D3304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9D33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D33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9D3304"/>
  </w:style>
  <w:style w:type="paragraph" w:styleId="Textoindependiente2">
    <w:name w:val="Body Text 2"/>
    <w:basedOn w:val="Normal"/>
    <w:semiHidden/>
    <w:rsid w:val="009D3304"/>
    <w:pPr>
      <w:jc w:val="both"/>
    </w:pPr>
    <w:rPr>
      <w:rFonts w:ascii="Arial" w:hAnsi="Arial" w:cs="Arial"/>
      <w:sz w:val="22"/>
      <w:lang w:val="es-ES"/>
    </w:rPr>
  </w:style>
  <w:style w:type="paragraph" w:styleId="Prrafodelista">
    <w:name w:val="List Paragraph"/>
    <w:basedOn w:val="Normal"/>
    <w:uiPriority w:val="34"/>
    <w:qFormat/>
    <w:rsid w:val="008B554E"/>
    <w:pPr>
      <w:ind w:left="708"/>
    </w:pPr>
  </w:style>
  <w:style w:type="paragraph" w:styleId="NormalWeb">
    <w:name w:val="Normal (Web)"/>
    <w:basedOn w:val="Normal"/>
    <w:uiPriority w:val="99"/>
    <w:unhideWhenUsed/>
    <w:rsid w:val="006117CB"/>
    <w:pPr>
      <w:spacing w:before="100" w:beforeAutospacing="1" w:after="100" w:afterAutospacing="1"/>
    </w:pPr>
    <w:rPr>
      <w:lang w:val="es-AR" w:eastAsia="es-AR"/>
    </w:rPr>
  </w:style>
  <w:style w:type="character" w:styleId="nfasis">
    <w:name w:val="Emphasis"/>
    <w:basedOn w:val="Fuentedeprrafopredeter"/>
    <w:uiPriority w:val="20"/>
    <w:qFormat/>
    <w:rsid w:val="0067547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47C0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E7317E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E7317E"/>
  </w:style>
  <w:style w:type="character" w:customStyle="1" w:styleId="EncabezadoCar">
    <w:name w:val="Encabezado Car"/>
    <w:basedOn w:val="Fuentedeprrafopredeter"/>
    <w:link w:val="Encabezado"/>
    <w:semiHidden/>
    <w:rsid w:val="009341D6"/>
    <w:rPr>
      <w:sz w:val="24"/>
      <w:szCs w:val="24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semiHidden/>
    <w:rsid w:val="009341D6"/>
    <w:rPr>
      <w:sz w:val="24"/>
      <w:szCs w:val="24"/>
      <w:lang w:val="en-GB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C63B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BC63B4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nfasissutil">
    <w:name w:val="Subtle Emphasis"/>
    <w:basedOn w:val="Fuentedeprrafopredeter"/>
    <w:uiPriority w:val="19"/>
    <w:qFormat/>
    <w:rsid w:val="00BC63B4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C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3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434">
                  <w:marLeft w:val="335"/>
                  <w:marRight w:val="0"/>
                  <w:marTop w:val="0"/>
                  <w:marBottom w:val="0"/>
                  <w:divBdr>
                    <w:top w:val="single" w:sz="6" w:space="3" w:color="D5D5D5"/>
                    <w:left w:val="single" w:sz="6" w:space="10" w:color="D5D5D5"/>
                    <w:bottom w:val="single" w:sz="6" w:space="3" w:color="D5D5D5"/>
                    <w:right w:val="single" w:sz="6" w:space="10" w:color="D5D5D5"/>
                  </w:divBdr>
                </w:div>
              </w:divsChild>
            </w:div>
          </w:divsChild>
        </w:div>
        <w:div w:id="190174747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738">
              <w:marLeft w:val="0"/>
              <w:marRight w:val="0"/>
              <w:marTop w:val="0"/>
              <w:marBottom w:val="335"/>
              <w:divBdr>
                <w:top w:val="dotted" w:sz="6" w:space="17" w:color="E1E1E1"/>
                <w:left w:val="dotted" w:sz="6" w:space="17" w:color="E1E1E1"/>
                <w:bottom w:val="dotted" w:sz="6" w:space="17" w:color="E1E1E1"/>
                <w:right w:val="dotted" w:sz="6" w:space="17" w:color="E1E1E1"/>
              </w:divBdr>
            </w:div>
          </w:divsChild>
        </w:div>
      </w:divsChild>
    </w:div>
    <w:div w:id="402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840">
          <w:marLeft w:val="1842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9881">
          <w:marLeft w:val="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95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48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400">
          <w:marLeft w:val="150"/>
          <w:marRight w:val="150"/>
          <w:marTop w:val="0"/>
          <w:marBottom w:val="0"/>
          <w:divBdr>
            <w:top w:val="dotted" w:sz="24" w:space="0" w:color="EDEDEF"/>
            <w:left w:val="dotted" w:sz="24" w:space="0" w:color="EDEDEF"/>
            <w:bottom w:val="dotted" w:sz="24" w:space="0" w:color="EDEDEF"/>
            <w:right w:val="dotted" w:sz="24" w:space="0" w:color="EDEDEF"/>
          </w:divBdr>
        </w:div>
      </w:divsChild>
    </w:div>
    <w:div w:id="1215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284">
          <w:marLeft w:val="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0147">
          <w:marLeft w:val="1842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etinoficial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9613-8887-48B3-81A5-4277083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Typosquatting: Cuidado con lo que escribe en su navegador  </vt:lpstr>
      <vt:lpstr>Typosquatting: Cuidado con lo que escribe en su navegador  </vt:lpstr>
    </vt:vector>
  </TitlesOfParts>
  <Company>Estudio Beccar Varela</Company>
  <LinksUpToDate>false</LinksUpToDate>
  <CharactersWithSpaces>6599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http://www.boletinoficial.gov.ar/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Typosquatting: Cuidado con lo que escribe en su navegador</dc:title>
  <dc:creator>María Inés Vilá</dc:creator>
  <cp:lastModifiedBy>avechio</cp:lastModifiedBy>
  <cp:revision>2</cp:revision>
  <cp:lastPrinted>2014-01-10T12:34:00Z</cp:lastPrinted>
  <dcterms:created xsi:type="dcterms:W3CDTF">2015-12-22T23:42:00Z</dcterms:created>
  <dcterms:modified xsi:type="dcterms:W3CDTF">2015-12-22T23:42:00Z</dcterms:modified>
</cp:coreProperties>
</file>